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394EF0">
      <w:pPr>
        <w:pStyle w:val="a3"/>
        <w:ind w:left="0"/>
        <w:jc w:val="left"/>
        <w:rPr>
          <w:sz w:val="20"/>
        </w:rPr>
      </w:pPr>
      <w:r>
        <w:rPr>
          <w:sz w:val="20"/>
        </w:rPr>
        <w:t>проект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394EF0">
      <w:pPr>
        <w:pStyle w:val="a3"/>
        <w:ind w:left="2447" w:right="2173"/>
        <w:jc w:val="center"/>
      </w:pPr>
      <w:r>
        <w:t>2023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DC3BE2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3BE2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3BE2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DC3BE2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</w:t>
            </w:r>
            <w:r w:rsidR="0047711D">
              <w:t>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</w:t>
            </w:r>
            <w:r w:rsidR="0047711D">
              <w:t>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</w:t>
            </w:r>
            <w:r w:rsidR="0047711D">
              <w:t>нности</w:t>
            </w:r>
            <w:r w:rsidR="0047711D">
              <w:tab/>
              <w:t>21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</w:t>
            </w:r>
            <w:r w:rsidR="0047711D">
              <w:t>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</w:t>
            </w:r>
            <w:r w:rsidR="0047711D">
              <w:t>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</w:t>
            </w:r>
            <w:r w:rsidR="0047711D">
              <w:t>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DC3BE2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DC3BE2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DC3BE2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</w:t>
            </w:r>
            <w:r w:rsidR="0047711D">
              <w:t>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DC3BE2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DC3BE2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DC3BE2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DC3BE2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</w:t>
            </w:r>
            <w:r w:rsidR="0047711D">
              <w:t>ности</w:t>
            </w:r>
            <w:r w:rsidR="0047711D">
              <w:tab/>
              <w:t>37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DC3BE2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</w:t>
            </w:r>
            <w:r w:rsidR="0047711D">
              <w:t>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DC3BE2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DC3BE2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DC3BE2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DC3BE2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DC3BE2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DC3BE2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DC3BE2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</w:t>
            </w:r>
            <w:r w:rsidR="0047711D">
              <w:t>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</w:t>
            </w:r>
            <w:r w:rsidR="0047711D">
              <w:t>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DC3BE2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3BE2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3BE2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DC3BE2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DC3BE2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DC3BE2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DC3BE2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DC3BE2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DC3BE2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DC3BE2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</w:t>
      </w:r>
      <w:r>
        <w:rPr>
          <w:w w:val="95"/>
        </w:rPr>
        <w:t>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</w:t>
      </w:r>
      <w:r>
        <w:rPr>
          <w:sz w:val="28"/>
        </w:rPr>
        <w:t>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</w:t>
      </w:r>
      <w:r>
        <w:t>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</w:t>
      </w:r>
      <w:r>
        <w:rPr>
          <w:sz w:val="28"/>
        </w:rPr>
        <w:t>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</w:t>
      </w:r>
      <w:r>
        <w:t>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</w:t>
      </w:r>
      <w:r>
        <w:rPr>
          <w:sz w:val="28"/>
        </w:rPr>
        <w:t xml:space="preserve">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</w:t>
      </w:r>
      <w:r>
        <w:rPr>
          <w:sz w:val="28"/>
        </w:rPr>
        <w:t>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</w:t>
      </w:r>
      <w:r>
        <w:rPr>
          <w:sz w:val="28"/>
        </w:rPr>
        <w:t>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</w:t>
      </w:r>
      <w:r>
        <w:rPr>
          <w:sz w:val="28"/>
        </w:rPr>
        <w:t>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</w:t>
      </w:r>
      <w:r>
        <w:rPr>
          <w:sz w:val="28"/>
        </w:rPr>
        <w:t>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</w:t>
      </w:r>
      <w:r>
        <w:rPr>
          <w:sz w:val="28"/>
        </w:rPr>
        <w:t>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</w:t>
      </w:r>
      <w:r>
        <w:rPr>
          <w:sz w:val="28"/>
        </w:rPr>
        <w:t>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</w:t>
      </w:r>
      <w:r>
        <w:t>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 xml:space="preserve">одноэтажная застройка. В качестве источников тепловой энергии в </w:t>
      </w:r>
      <w:r>
        <w:t>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</w:t>
      </w:r>
      <w:r>
        <w:t>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</w:t>
      </w:r>
      <w:r>
        <w:t>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</w:t>
      </w:r>
      <w:r>
        <w:rPr>
          <w:w w:val="95"/>
        </w:rPr>
        <w:t>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</w:t>
      </w:r>
      <w:r>
        <w:t>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</w:t>
      </w:r>
      <w:r>
        <w:t>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</w:t>
      </w:r>
      <w:r>
        <w:t>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DC3BE2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DC3BE2" w:rsidRDefault="0047711D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DC3BE2">
      <w:pPr>
        <w:pStyle w:val="a3"/>
        <w:spacing w:before="3"/>
        <w:ind w:left="0"/>
        <w:jc w:val="left"/>
        <w:rPr>
          <w:sz w:val="19"/>
        </w:rPr>
      </w:pPr>
      <w:r w:rsidRPr="00DC3BE2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DC3BE2" w:rsidRDefault="004771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</w:t>
      </w:r>
      <w:r>
        <w:t>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</w:t>
      </w:r>
      <w:r>
        <w:t>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</w:t>
      </w:r>
      <w:r>
        <w:t>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</w:t>
      </w:r>
      <w:r>
        <w:t>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</w:t>
      </w:r>
      <w:r>
        <w:rPr>
          <w:sz w:val="28"/>
        </w:rPr>
        <w:t>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>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</w:t>
      </w:r>
      <w:r>
        <w:rPr>
          <w:sz w:val="28"/>
        </w:rPr>
        <w:t>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</w:t>
      </w:r>
      <w:r>
        <w:t>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</w:t>
      </w:r>
      <w:r>
        <w:t>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</w:t>
      </w:r>
      <w:r>
        <w:t>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 xml:space="preserve">воды в подающем и обратном трубопроводах на выводах источника </w:t>
      </w:r>
      <w:r>
        <w:t>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</w:t>
      </w:r>
      <w:r>
        <w:t>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</w:t>
      </w:r>
      <w:r>
        <w:rPr>
          <w:sz w:val="28"/>
        </w:rPr>
        <w:t>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</w:t>
      </w:r>
      <w:r>
        <w:rPr>
          <w:sz w:val="28"/>
        </w:rPr>
        <w:t>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</w:t>
      </w:r>
      <w:r>
        <w:t>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</w:t>
      </w:r>
      <w:r>
        <w:t>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</w:t>
      </w:r>
      <w:r>
        <w:t>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</w:t>
      </w:r>
      <w:r>
        <w:t>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</w:t>
      </w:r>
      <w:r>
        <w:t>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</w:t>
      </w:r>
      <w:r>
        <w:t>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</w:t>
      </w:r>
      <w:r>
        <w:t>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</w:t>
      </w:r>
      <w:r>
        <w:t>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</w:t>
      </w:r>
      <w:r>
        <w:t>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</w:t>
      </w:r>
      <w:r>
        <w:t>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</w:t>
      </w:r>
      <w:r>
        <w:t>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</w:t>
      </w:r>
      <w:r>
        <w:t>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</w:t>
      </w:r>
      <w:r>
        <w:t>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</w:t>
      </w:r>
      <w:r>
        <w:t>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</w:t>
      </w:r>
      <w:r>
        <w:t>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</w:t>
      </w:r>
      <w:r>
        <w:t>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</w:t>
      </w:r>
      <w:r>
        <w:t>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</w:t>
      </w:r>
      <w:r>
        <w:t>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</w:t>
      </w:r>
      <w:r>
        <w:t>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</w:t>
      </w:r>
      <w:r>
        <w:t>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</w:t>
      </w:r>
      <w:r>
        <w:t>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 xml:space="preserve">Технологические потери </w:t>
      </w:r>
      <w:r>
        <w:t>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</w:t>
      </w:r>
      <w:r>
        <w:t>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</w:t>
      </w:r>
      <w:r>
        <w:t>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</w:t>
      </w:r>
      <w:r>
        <w:t>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</w:t>
      </w:r>
      <w:r>
        <w:t xml:space="preserve">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</w:t>
      </w:r>
      <w:r>
        <w:t>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</w:t>
      </w:r>
      <w:r>
        <w:t>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</w:t>
      </w:r>
      <w:r>
        <w:t>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</w:t>
      </w:r>
      <w:r>
        <w:t>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</w:t>
      </w:r>
      <w:r>
        <w:t>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</w:t>
      </w:r>
      <w:r>
        <w:rPr>
          <w:sz w:val="28"/>
        </w:rPr>
        <w:t>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</w:t>
      </w:r>
      <w:r>
        <w:t>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</w:t>
      </w:r>
      <w:r>
        <w:t>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</w:t>
      </w:r>
      <w:r>
        <w:t>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>
        <w:t>2019 г. (на период 2019 – 2023 годов) - не менее чем на 30% по отношению к</w:t>
      </w:r>
      <w:r>
        <w:rPr>
          <w:spacing w:val="1"/>
        </w:rPr>
        <w:t xml:space="preserve"> </w:t>
      </w:r>
      <w:r>
        <w:t>базовому уровню и с 1 января 2023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</w:t>
      </w:r>
      <w:r>
        <w:t>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</w:t>
      </w:r>
      <w:r>
        <w:t xml:space="preserve">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</w:t>
      </w:r>
      <w:r>
        <w:rPr>
          <w:b/>
          <w:sz w:val="28"/>
        </w:rPr>
        <w:t>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</w:t>
      </w:r>
      <w:r>
        <w:t>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</w:t>
      </w:r>
      <w:r>
        <w:t>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</w:t>
      </w:r>
      <w:r>
        <w:rPr>
          <w:b/>
          <w:sz w:val="28"/>
        </w:rPr>
        <w:t>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</w:t>
      </w:r>
      <w:r>
        <w:t>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</w:t>
      </w:r>
      <w:r>
        <w:t>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</w:t>
      </w:r>
      <w:r>
        <w:t>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</w:t>
      </w:r>
      <w:r>
        <w:t>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</w:t>
      </w:r>
      <w:r>
        <w:t>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</w:t>
      </w:r>
      <w:r>
        <w:t>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</w:t>
      </w:r>
      <w:r>
        <w:t>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</w:t>
      </w:r>
      <w:r>
        <w:t>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 xml:space="preserve">отсутствия свободной мощности в соответствующей </w:t>
      </w:r>
      <w:r>
        <w:t>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</w:t>
      </w:r>
      <w:r>
        <w:t>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</w:t>
      </w:r>
      <w:r>
        <w:t xml:space="preserve">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</w:t>
      </w:r>
      <w:r>
        <w:t>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</w:t>
      </w:r>
      <w:r>
        <w:t>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</w:t>
      </w:r>
      <w:r>
        <w:t>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</w:t>
      </w:r>
      <w:r>
        <w:t>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</w:t>
      </w:r>
      <w:r>
        <w:t>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</w:t>
      </w:r>
      <w:r>
        <w:t>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</w:t>
      </w:r>
      <w:r>
        <w:t>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</w:t>
      </w:r>
      <w:r>
        <w:t xml:space="preserve">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</w:t>
      </w:r>
      <w:r>
        <w:t>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</w:t>
      </w:r>
      <w:r>
        <w:t>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</w:t>
      </w:r>
      <w:r>
        <w:t>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</w:t>
      </w:r>
      <w:r>
        <w:t>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</w:t>
      </w:r>
      <w:r>
        <w:t>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</w:t>
      </w:r>
      <w:r>
        <w:t xml:space="preserve">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</w:t>
      </w:r>
      <w:r>
        <w:t>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</w:t>
      </w:r>
      <w:r>
        <w:t>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</w:t>
      </w:r>
      <w:r>
        <w:t>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</w:t>
      </w:r>
      <w:r>
        <w:t>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</w:t>
      </w:r>
      <w:r>
        <w:t>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</w:t>
      </w:r>
      <w:r>
        <w:t>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</w:t>
      </w:r>
      <w:r>
        <w:t>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</w:t>
      </w:r>
      <w:r>
        <w:t>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</w:t>
      </w:r>
      <w:r>
        <w:t>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</w:t>
      </w:r>
      <w:r>
        <w:t>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</w:t>
      </w:r>
      <w:r>
        <w:t xml:space="preserve">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</w:t>
      </w:r>
      <w:r>
        <w:t>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</w:t>
      </w:r>
      <w:r>
        <w:t>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</w:t>
      </w:r>
      <w:r>
        <w:t>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</w:t>
      </w:r>
      <w:r>
        <w:t>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>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</w:r>
      <w:r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</w:t>
      </w:r>
      <w:r>
        <w:t>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</w:t>
      </w:r>
      <w:r>
        <w:t>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</w:t>
      </w:r>
      <w:r>
        <w:rPr>
          <w:sz w:val="28"/>
        </w:rPr>
        <w:t>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</w:t>
      </w:r>
      <w:r>
        <w:rPr>
          <w:w w:val="95"/>
        </w:rPr>
        <w:t>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1D" w:rsidRDefault="0047711D" w:rsidP="00DC3BE2">
      <w:r>
        <w:separator/>
      </w:r>
    </w:p>
  </w:endnote>
  <w:endnote w:type="continuationSeparator" w:id="1">
    <w:p w:rsidR="0047711D" w:rsidRDefault="0047711D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1D" w:rsidRDefault="0047711D" w:rsidP="00DC3BE2">
      <w:r>
        <w:separator/>
      </w:r>
    </w:p>
  </w:footnote>
  <w:footnote w:type="continuationSeparator" w:id="1">
    <w:p w:rsidR="0047711D" w:rsidRDefault="0047711D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0"/>
      </w:rPr>
    </w:pPr>
    <w:r w:rsidRPr="00DC3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DC3BE2" w:rsidRDefault="00DC3BE2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94EF0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394EF0"/>
    <w:rsid w:val="0047711D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19034</Words>
  <Characters>108494</Characters>
  <Application>Microsoft Office Word</Application>
  <DocSecurity>0</DocSecurity>
  <Lines>904</Lines>
  <Paragraphs>254</Paragraphs>
  <ScaleCrop>false</ScaleCrop>
  <Company>Reanimator Extreme Edition</Company>
  <LinksUpToDate>false</LinksUpToDate>
  <CharactersWithSpaces>127274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3</cp:revision>
  <dcterms:created xsi:type="dcterms:W3CDTF">2023-01-31T12:16:00Z</dcterms:created>
  <dcterms:modified xsi:type="dcterms:W3CDTF">2023-01-31T12:17:00Z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