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E430F8">
      <w:pPr>
        <w:pStyle w:val="a3"/>
        <w:spacing w:before="1"/>
        <w:ind w:left="1656" w:right="1222"/>
        <w:jc w:val="center"/>
      </w:pPr>
      <w:r>
        <w:t>2024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>определяющим стратегию и единую техническую 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0D3F1D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0D3F1D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0D3F1D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0D3F1D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0D3F1D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0D3F1D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0D3F1D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0D3F1D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0D3F1D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0D3F1D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0D3F1D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0D3F1D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0D3F1D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0D3F1D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0D3F1D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0D3F1D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0D3F1D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0D3F1D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располагаемой тепловой мощности источников 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0D3F1D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0D3F1D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0D3F1D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0D3F1D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0D3F1D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0D3F1D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0D3F1D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0D3F1D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0D3F1D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0D3F1D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0D3F1D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0D3F1D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0D3F1D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0D3F1D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0D3F1D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0D3F1D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0D3F1D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0D3F1D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0D3F1D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0D3F1D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0D3F1D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0D3F1D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0D3F1D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0D3F1D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B3" w:rsidRDefault="00A51DB3" w:rsidP="005E788F">
      <w:r>
        <w:separator/>
      </w:r>
    </w:p>
  </w:endnote>
  <w:endnote w:type="continuationSeparator" w:id="1">
    <w:p w:rsidR="00A51DB3" w:rsidRDefault="00A51DB3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B3" w:rsidRDefault="00A51DB3" w:rsidP="005E788F">
      <w:r>
        <w:separator/>
      </w:r>
    </w:p>
  </w:footnote>
  <w:footnote w:type="continuationSeparator" w:id="1">
    <w:p w:rsidR="00A51DB3" w:rsidRDefault="00A51DB3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0D3F1D">
    <w:pPr>
      <w:pStyle w:val="a3"/>
      <w:spacing w:line="14" w:lineRule="auto"/>
      <w:jc w:val="left"/>
      <w:rPr>
        <w:sz w:val="20"/>
      </w:rPr>
    </w:pPr>
    <w:r w:rsidRPr="000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0D3F1D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E430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0D3F1D">
    <w:pPr>
      <w:pStyle w:val="a3"/>
      <w:spacing w:line="14" w:lineRule="auto"/>
      <w:jc w:val="left"/>
      <w:rPr>
        <w:sz w:val="20"/>
      </w:rPr>
    </w:pPr>
    <w:r w:rsidRPr="000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0D3F1D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E430F8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0D3F1D">
    <w:pPr>
      <w:pStyle w:val="a3"/>
      <w:spacing w:line="14" w:lineRule="auto"/>
      <w:jc w:val="left"/>
      <w:rPr>
        <w:sz w:val="20"/>
      </w:rPr>
    </w:pPr>
    <w:r w:rsidRPr="000D3F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0D3F1D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E430F8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0D32C0"/>
    <w:rsid w:val="000D3F1D"/>
    <w:rsid w:val="001725F9"/>
    <w:rsid w:val="001D7B11"/>
    <w:rsid w:val="002C4FDF"/>
    <w:rsid w:val="00340F72"/>
    <w:rsid w:val="003F1595"/>
    <w:rsid w:val="005E788F"/>
    <w:rsid w:val="006A5F2A"/>
    <w:rsid w:val="007B735D"/>
    <w:rsid w:val="009254E8"/>
    <w:rsid w:val="00A51DB3"/>
    <w:rsid w:val="00AD2123"/>
    <w:rsid w:val="00CC2CF0"/>
    <w:rsid w:val="00D86F70"/>
    <w:rsid w:val="00E430F8"/>
    <w:rsid w:val="00E72FF3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  <w:style w:type="paragraph" w:styleId="a5">
    <w:name w:val="Balloon Text"/>
    <w:basedOn w:val="a"/>
    <w:link w:val="a6"/>
    <w:uiPriority w:val="99"/>
    <w:semiHidden/>
    <w:unhideWhenUsed/>
    <w:rsid w:val="00CC2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8022</Words>
  <Characters>45732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13</cp:revision>
  <dcterms:created xsi:type="dcterms:W3CDTF">2023-01-31T12:16:00Z</dcterms:created>
  <dcterms:modified xsi:type="dcterms:W3CDTF">2025-01-30T11:55:00Z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